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10910" w:type="dxa"/>
        <w:jc w:val="center"/>
        <w:tblInd w:w="0" w:type="dxa"/>
        <w:tblLook w:val="04A0" w:firstRow="1" w:lastRow="0" w:firstColumn="1" w:lastColumn="0" w:noHBand="0" w:noVBand="1"/>
      </w:tblPr>
      <w:tblGrid>
        <w:gridCol w:w="1959"/>
        <w:gridCol w:w="8951"/>
      </w:tblGrid>
      <w:tr w:rsidR="00341923" w:rsidRPr="00341923" w14:paraId="22176ADC" w14:textId="77777777" w:rsidTr="00341923">
        <w:trPr>
          <w:jc w:val="center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6CB2E2" w14:textId="77777777" w:rsidR="00341923" w:rsidRPr="00341923" w:rsidRDefault="00341923" w:rsidP="00341923">
            <w:pPr>
              <w:spacing w:after="160" w:line="256" w:lineRule="auto"/>
              <w:jc w:val="center"/>
              <w:rPr>
                <w:b/>
                <w:bCs/>
              </w:rPr>
            </w:pPr>
            <w:r w:rsidRPr="00341923">
              <w:rPr>
                <w:b/>
                <w:bCs/>
              </w:rPr>
              <w:t>TEMA DEL PERCORSO FORMATIVO</w:t>
            </w:r>
          </w:p>
        </w:tc>
      </w:tr>
      <w:tr w:rsidR="00341923" w:rsidRPr="00341923" w14:paraId="68099915" w14:textId="77777777" w:rsidTr="00341923">
        <w:trPr>
          <w:trHeight w:val="756"/>
          <w:jc w:val="center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6B3CD4" w14:textId="77777777" w:rsidR="00341923" w:rsidRPr="00341923" w:rsidRDefault="00341923" w:rsidP="00341923">
            <w:pPr>
              <w:spacing w:after="160" w:line="256" w:lineRule="auto"/>
              <w:jc w:val="center"/>
              <w:rPr>
                <w:b/>
                <w:bCs/>
                <w:sz w:val="32"/>
                <w:szCs w:val="32"/>
              </w:rPr>
            </w:pPr>
            <w:r w:rsidRPr="0034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DIDATTICA DELLA MATEMATICA NELLA SCUOLA PRIMARIA</w:t>
            </w:r>
          </w:p>
        </w:tc>
      </w:tr>
      <w:tr w:rsidR="00341923" w:rsidRPr="00341923" w14:paraId="3769C439" w14:textId="77777777" w:rsidTr="00197564">
        <w:trPr>
          <w:trHeight w:val="756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42B56F" w14:textId="77777777" w:rsidR="00341923" w:rsidRPr="00341923" w:rsidRDefault="00341923" w:rsidP="00341923">
            <w:pPr>
              <w:tabs>
                <w:tab w:val="left" w:pos="7615"/>
              </w:tabs>
              <w:ind w:left="142" w:firstLine="566"/>
              <w:jc w:val="center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DESCRIZIONE AZIONE FORMATIVA</w:t>
            </w:r>
          </w:p>
          <w:p w14:paraId="4137585D" w14:textId="77777777" w:rsidR="00341923" w:rsidRPr="00341923" w:rsidRDefault="00341923" w:rsidP="00341923">
            <w:pPr>
              <w:jc w:val="center"/>
              <w:rPr>
                <w:b/>
                <w:bCs/>
              </w:rPr>
            </w:pP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B6FD" w14:textId="77777777" w:rsidR="00341923" w:rsidRPr="00341923" w:rsidRDefault="00341923" w:rsidP="00341923">
            <w:pPr>
              <w:spacing w:after="0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L’azione formativa parte dall’assunto che il docente ha a disposizione dell’insegnamento della matematica - e non solo - un’infinità di strumenti, ma deve essere consapevole di due elementi fondamentali:</w:t>
            </w:r>
          </w:p>
          <w:p w14:paraId="2489BB2A" w14:textId="77777777" w:rsidR="00341923" w:rsidRPr="00341923" w:rsidRDefault="00341923" w:rsidP="00341923">
            <w:pPr>
              <w:spacing w:after="0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 xml:space="preserve">1. le azioni da mettere in gioco per attivare e sviluppare i processi logici;  </w:t>
            </w:r>
          </w:p>
          <w:p w14:paraId="52DDF707" w14:textId="77777777" w:rsidR="00341923" w:rsidRPr="00341923" w:rsidRDefault="00341923" w:rsidP="00341923">
            <w:pPr>
              <w:spacing w:after="0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 xml:space="preserve">2. non dimenticare che il gioco continua a essere un elemento di connessione fondamentale per catturare l'attenzione degli studenti in questi primi anni di vita scolastica. </w:t>
            </w:r>
          </w:p>
          <w:p w14:paraId="285A9DF0" w14:textId="77777777" w:rsidR="00341923" w:rsidRPr="00341923" w:rsidRDefault="00341923" w:rsidP="00341923">
            <w:pPr>
              <w:spacing w:after="0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 xml:space="preserve">Questa azione formativa è stata pensata con l'intento di fornire le conoscenze pedagogiche e metodologiche più recenti in questo campo, anche attraverso proposte e buone pratiche, favorendo la crescita professionale degli insegnanti, incrementando le loro competenze per insegnare in modo più efficace ed attraente. </w:t>
            </w:r>
          </w:p>
        </w:tc>
      </w:tr>
      <w:tr w:rsidR="00341923" w:rsidRPr="00341923" w14:paraId="6599CAE1" w14:textId="77777777" w:rsidTr="00AC2E86">
        <w:trPr>
          <w:trHeight w:val="466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9995D9" w14:textId="77777777" w:rsidR="00341923" w:rsidRPr="00341923" w:rsidRDefault="00341923" w:rsidP="00341923">
            <w:pPr>
              <w:tabs>
                <w:tab w:val="left" w:pos="7615"/>
              </w:tabs>
              <w:ind w:left="142" w:firstLine="566"/>
              <w:jc w:val="center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PRIORITÀ MIUR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892F" w14:textId="77777777" w:rsidR="00341923" w:rsidRPr="00341923" w:rsidRDefault="00341923" w:rsidP="00341923">
            <w:pPr>
              <w:tabs>
                <w:tab w:val="left" w:pos="7615"/>
              </w:tabs>
              <w:ind w:left="142" w:hanging="65"/>
              <w:jc w:val="both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Metodologie didattiche proprie delle discipline scientifico-tecnologiche (STEM)</w:t>
            </w:r>
          </w:p>
        </w:tc>
      </w:tr>
      <w:tr w:rsidR="00341923" w:rsidRPr="00341923" w14:paraId="7023A75F" w14:textId="77777777" w:rsidTr="00AC2E86">
        <w:trPr>
          <w:trHeight w:val="633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090EDA" w14:textId="77777777" w:rsidR="00341923" w:rsidRPr="00341923" w:rsidRDefault="00341923" w:rsidP="00341923">
            <w:pPr>
              <w:tabs>
                <w:tab w:val="left" w:pos="7615"/>
              </w:tabs>
              <w:ind w:left="142"/>
              <w:jc w:val="center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AMBITI SPECIFICI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A046" w14:textId="6E51EC6A" w:rsidR="00341923" w:rsidRPr="00341923" w:rsidRDefault="00341923" w:rsidP="00AC2E86">
            <w:pPr>
              <w:shd w:val="clear" w:color="auto" w:fill="FFFFFF"/>
              <w:spacing w:before="300" w:after="300" w:line="240" w:lineRule="auto"/>
              <w:rPr>
                <w:rFonts w:eastAsia="Times New Roman"/>
              </w:rPr>
            </w:pPr>
            <w:r w:rsidRPr="00341923">
              <w:rPr>
                <w:rFonts w:ascii="Arial" w:eastAsia="Times New Roman" w:hAnsi="Arial" w:cs="Arial"/>
                <w:color w:val="333333"/>
                <w:spacing w:val="8"/>
                <w:sz w:val="21"/>
                <w:szCs w:val="21"/>
                <w:lang w:eastAsia="it-IT"/>
              </w:rPr>
              <w:t>Didattica singole discipline previste dagli ordinamenti</w:t>
            </w:r>
          </w:p>
        </w:tc>
      </w:tr>
      <w:tr w:rsidR="00341923" w:rsidRPr="00341923" w14:paraId="06544606" w14:textId="77777777" w:rsidTr="00197564">
        <w:trPr>
          <w:trHeight w:val="81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D8D0CA" w14:textId="77777777" w:rsidR="00341923" w:rsidRPr="00341923" w:rsidRDefault="00341923" w:rsidP="00341923">
            <w:pPr>
              <w:tabs>
                <w:tab w:val="left" w:pos="7615"/>
              </w:tabs>
              <w:ind w:left="142"/>
              <w:jc w:val="center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AMBITI TRASVERSALI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90CC" w14:textId="77777777" w:rsidR="00341923" w:rsidRPr="00341923" w:rsidRDefault="00341923" w:rsidP="00341923">
            <w:pPr>
              <w:tabs>
                <w:tab w:val="left" w:pos="7615"/>
              </w:tabs>
              <w:ind w:left="142" w:hanging="65"/>
              <w:jc w:val="both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Didattica e metodologie</w:t>
            </w:r>
          </w:p>
          <w:p w14:paraId="7995E3E2" w14:textId="77777777" w:rsidR="00341923" w:rsidRPr="00341923" w:rsidRDefault="00341923" w:rsidP="00341923">
            <w:pPr>
              <w:tabs>
                <w:tab w:val="left" w:pos="7615"/>
              </w:tabs>
              <w:ind w:left="142" w:hanging="65"/>
              <w:jc w:val="both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 xml:space="preserve">Didattica per competenze e competenze trasversali </w:t>
            </w:r>
          </w:p>
        </w:tc>
      </w:tr>
      <w:tr w:rsidR="00341923" w:rsidRPr="00341923" w14:paraId="42C6273E" w14:textId="77777777" w:rsidTr="00197564">
        <w:trPr>
          <w:trHeight w:val="81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0EFD77" w14:textId="77777777" w:rsidR="00341923" w:rsidRPr="00341923" w:rsidRDefault="00341923" w:rsidP="00341923">
            <w:pPr>
              <w:tabs>
                <w:tab w:val="left" w:pos="7615"/>
              </w:tabs>
              <w:ind w:left="142"/>
              <w:jc w:val="center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OBIETTIVI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9B4A" w14:textId="77777777" w:rsidR="00341923" w:rsidRPr="00341923" w:rsidRDefault="00341923" w:rsidP="0034192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Fornire conoscenze teoriche e strumentali per l’insegnamento della matematica</w:t>
            </w:r>
          </w:p>
          <w:p w14:paraId="1D3856A7" w14:textId="77777777" w:rsidR="00341923" w:rsidRPr="00341923" w:rsidRDefault="00341923" w:rsidP="0034192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Usare la gamification in aula per la motivazione e l'apprendimento della matematica</w:t>
            </w:r>
          </w:p>
          <w:p w14:paraId="1561064F" w14:textId="77777777" w:rsidR="00341923" w:rsidRPr="00341923" w:rsidRDefault="00341923" w:rsidP="0034192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Comprendere lo sviluppo del pensiero logico-matematico all'interno del curriculum della Scuola Primaria </w:t>
            </w:r>
          </w:p>
          <w:p w14:paraId="463BBCAC" w14:textId="77777777" w:rsidR="00341923" w:rsidRPr="00341923" w:rsidRDefault="00341923" w:rsidP="0034192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Assicurarsi che il bambino impari a dedurre logicamente, ad argomentare e a trarre conclusioni dalle situazioni che gli vengono presentate</w:t>
            </w:r>
          </w:p>
          <w:p w14:paraId="7CC1E042" w14:textId="77777777" w:rsidR="00341923" w:rsidRPr="00341923" w:rsidRDefault="00341923" w:rsidP="0034192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Imparare a utilizzare varie metodologie didattiche per adattarle ai vari stili di apprendimento</w:t>
            </w:r>
          </w:p>
          <w:p w14:paraId="34C532A6" w14:textId="77777777" w:rsidR="00341923" w:rsidRPr="00341923" w:rsidRDefault="00341923" w:rsidP="0034192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Avere la capacità di pianificare diverse situazioni di gioco e attività</w:t>
            </w:r>
          </w:p>
          <w:p w14:paraId="0C34C8B9" w14:textId="77777777" w:rsidR="00341923" w:rsidRPr="00341923" w:rsidRDefault="00341923" w:rsidP="00341923">
            <w:pPr>
              <w:numPr>
                <w:ilvl w:val="0"/>
                <w:numId w:val="22"/>
              </w:numPr>
              <w:shd w:val="clear" w:color="auto" w:fill="FFFFFF"/>
              <w:spacing w:before="240" w:after="0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Conoscere e padroneggiare i nuclei fondamentali dell’insegnamento della matematica nella scuola primaria anche con riguardo ai Quadri di riferimento Invalsi</w:t>
            </w:r>
          </w:p>
          <w:p w14:paraId="60052072" w14:textId="77777777" w:rsidR="00341923" w:rsidRPr="00341923" w:rsidRDefault="00341923" w:rsidP="00341923">
            <w:pPr>
              <w:numPr>
                <w:ilvl w:val="0"/>
                <w:numId w:val="22"/>
              </w:numPr>
              <w:shd w:val="clear" w:color="auto" w:fill="FFFFFF"/>
              <w:spacing w:before="240" w:after="0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Sviluppare materiali e risorse per lavorare con i problemi in classe</w:t>
            </w:r>
          </w:p>
          <w:p w14:paraId="3FBA9AF1" w14:textId="77777777" w:rsidR="00341923" w:rsidRPr="00341923" w:rsidRDefault="00341923" w:rsidP="00341923">
            <w:pPr>
              <w:numPr>
                <w:ilvl w:val="0"/>
                <w:numId w:val="23"/>
              </w:numPr>
              <w:shd w:val="clear" w:color="auto" w:fill="FFFFFF"/>
              <w:spacing w:before="240" w:after="100" w:afterAutospacing="1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Strategie per il calcolo mentale e per insegnare il calcolo mentale</w:t>
            </w:r>
          </w:p>
          <w:p w14:paraId="74D6EE1B" w14:textId="77777777" w:rsidR="00341923" w:rsidRPr="00341923" w:rsidRDefault="00341923" w:rsidP="00341923">
            <w:pPr>
              <w:numPr>
                <w:ilvl w:val="0"/>
                <w:numId w:val="23"/>
              </w:numPr>
              <w:shd w:val="clear" w:color="auto" w:fill="FFFFFF"/>
              <w:spacing w:before="240" w:after="0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Applicare metodologie per la risoluzione di problemi attraverso l'aritmetica mentale</w:t>
            </w:r>
          </w:p>
          <w:p w14:paraId="74798AD9" w14:textId="77777777" w:rsidR="00341923" w:rsidRPr="00341923" w:rsidRDefault="00341923" w:rsidP="00341923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Comprendere l'importanza dell'uso delle nuove tecnologie nella scuola primaria</w:t>
            </w:r>
          </w:p>
          <w:p w14:paraId="75D0AF93" w14:textId="77777777" w:rsidR="00341923" w:rsidRPr="00341923" w:rsidRDefault="00341923" w:rsidP="00341923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I giochi meccanici e costruttivi; Il coding e la robotica educativa</w:t>
            </w:r>
          </w:p>
          <w:p w14:paraId="61EC8745" w14:textId="77777777" w:rsidR="00341923" w:rsidRPr="00341923" w:rsidRDefault="00341923" w:rsidP="0034192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 xml:space="preserve">Creare e progettare contenuti e risorse interattive da utilizzare successivamente in classe </w:t>
            </w:r>
          </w:p>
          <w:p w14:paraId="4A0E5F6C" w14:textId="77777777" w:rsidR="00341923" w:rsidRPr="00341923" w:rsidRDefault="00341923" w:rsidP="0034192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Creare compiti autentici per un utilizzo significativo della matematica</w:t>
            </w:r>
          </w:p>
          <w:p w14:paraId="246F87A8" w14:textId="77777777" w:rsidR="00341923" w:rsidRPr="00341923" w:rsidRDefault="00341923" w:rsidP="0034192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Essere in grado di costruire strumenti di valutazione coerenti con l’azione didattica svolta, con riguardo alle dimensioni dei livelli di valutazione (</w:t>
            </w:r>
            <w:r w:rsidRPr="00341923">
              <w:rPr>
                <w:rFonts w:eastAsia="Times New Roman"/>
                <w:b/>
                <w:bCs/>
              </w:rPr>
              <w:t>autonomia, continuita, tipologia della situazione, risorse mobilitate</w:t>
            </w:r>
            <w:r w:rsidRPr="00341923">
              <w:rPr>
                <w:rFonts w:eastAsia="Times New Roman"/>
                <w:bCs/>
              </w:rPr>
              <w:t>)</w:t>
            </w:r>
          </w:p>
          <w:p w14:paraId="65B3EE34" w14:textId="77777777" w:rsidR="00341923" w:rsidRPr="00341923" w:rsidRDefault="00341923" w:rsidP="00341923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</w:p>
        </w:tc>
      </w:tr>
      <w:tr w:rsidR="00341923" w:rsidRPr="00341923" w14:paraId="2F8F336A" w14:textId="77777777" w:rsidTr="00197564">
        <w:trPr>
          <w:trHeight w:val="81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DC5402" w14:textId="77777777" w:rsidR="00341923" w:rsidRPr="00341923" w:rsidRDefault="00341923" w:rsidP="00341923">
            <w:pPr>
              <w:tabs>
                <w:tab w:val="left" w:pos="7615"/>
              </w:tabs>
              <w:ind w:left="142"/>
              <w:jc w:val="center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lastRenderedPageBreak/>
              <w:t>CONTENUTI E METODOLOGIE DIDATTICHE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Grigliatabella1"/>
              <w:tblW w:w="8583" w:type="dxa"/>
              <w:tblInd w:w="142" w:type="dxa"/>
              <w:tblLook w:val="04A0" w:firstRow="1" w:lastRow="0" w:firstColumn="1" w:lastColumn="0" w:noHBand="0" w:noVBand="1"/>
            </w:tblPr>
            <w:tblGrid>
              <w:gridCol w:w="5057"/>
              <w:gridCol w:w="952"/>
              <w:gridCol w:w="2574"/>
            </w:tblGrid>
            <w:tr w:rsidR="00341923" w:rsidRPr="00341923" w14:paraId="0B33AD81" w14:textId="77777777" w:rsidTr="00AC2E86">
              <w:tc>
                <w:tcPr>
                  <w:tcW w:w="5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8FAC71" w14:textId="77777777" w:rsidR="00341923" w:rsidRPr="00341923" w:rsidRDefault="00341923" w:rsidP="00341923">
                  <w:pPr>
                    <w:tabs>
                      <w:tab w:val="left" w:pos="7615"/>
                    </w:tabs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41923">
                    <w:rPr>
                      <w:rFonts w:eastAsia="Times New Roman"/>
                      <w:b/>
                      <w:bCs/>
                    </w:rPr>
                    <w:t>Titolo/contenuto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72B1D" w14:textId="77777777" w:rsidR="00341923" w:rsidRPr="00341923" w:rsidRDefault="00341923" w:rsidP="00341923">
                  <w:pPr>
                    <w:tabs>
                      <w:tab w:val="left" w:pos="7615"/>
                    </w:tabs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41923">
                    <w:rPr>
                      <w:rFonts w:eastAsia="Times New Roman"/>
                      <w:b/>
                      <w:bCs/>
                    </w:rPr>
                    <w:t>Ore relatore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DDCFC" w14:textId="77777777" w:rsidR="00341923" w:rsidRPr="00341923" w:rsidRDefault="00341923" w:rsidP="00341923">
                  <w:pPr>
                    <w:tabs>
                      <w:tab w:val="left" w:pos="7615"/>
                    </w:tabs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41923">
                    <w:rPr>
                      <w:rFonts w:eastAsia="Times New Roman"/>
                      <w:b/>
                      <w:bCs/>
                    </w:rPr>
                    <w:t>Competenze/ profilo relatori</w:t>
                  </w:r>
                </w:p>
              </w:tc>
            </w:tr>
            <w:tr w:rsidR="00341923" w:rsidRPr="00341923" w14:paraId="0C939477" w14:textId="77777777" w:rsidTr="00AC2E86">
              <w:tc>
                <w:tcPr>
                  <w:tcW w:w="5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93EE4D" w14:textId="77777777" w:rsidR="00341923" w:rsidRPr="00341923" w:rsidRDefault="00341923" w:rsidP="00341923">
                  <w:pPr>
                    <w:tabs>
                      <w:tab w:val="left" w:pos="7615"/>
                    </w:tabs>
                    <w:jc w:val="both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UDA1</w:t>
                  </w:r>
                </w:p>
                <w:p w14:paraId="3E29E1E8" w14:textId="77777777" w:rsidR="00341923" w:rsidRPr="00341923" w:rsidRDefault="00341923" w:rsidP="00341923">
                  <w:pPr>
                    <w:shd w:val="clear" w:color="auto" w:fill="FFFFFF"/>
                    <w:spacing w:after="0" w:line="240" w:lineRule="auto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Il curriculum matematico nell’Educazione Primaria</w:t>
                  </w:r>
                </w:p>
                <w:p w14:paraId="67CC4444" w14:textId="77777777" w:rsidR="00341923" w:rsidRPr="00341923" w:rsidRDefault="00341923" w:rsidP="00341923">
                  <w:pPr>
                    <w:shd w:val="clear" w:color="auto" w:fill="FFFFFF"/>
                    <w:spacing w:after="0" w:line="240" w:lineRule="auto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Obiettivi del curriculum di matematica</w:t>
                  </w:r>
                  <w:r w:rsidRPr="00341923">
                    <w:rPr>
                      <w:rFonts w:eastAsia="Times New Roman"/>
                    </w:rPr>
                    <w:br/>
                    <w:t>Standard di apprendimento</w:t>
                  </w:r>
                  <w:r w:rsidRPr="00341923">
                    <w:rPr>
                      <w:rFonts w:eastAsia="Times New Roman"/>
                    </w:rPr>
                    <w:br/>
                    <w:t xml:space="preserve">Competenze </w:t>
                  </w:r>
                  <w:r w:rsidRPr="00341923">
                    <w:rPr>
                      <w:rFonts w:eastAsia="Times New Roman"/>
                    </w:rPr>
                    <w:br/>
                    <w:t>Criteri di valutazione</w:t>
                  </w:r>
                  <w:r w:rsidRPr="00341923">
                    <w:rPr>
                      <w:rFonts w:eastAsia="Times New Roman"/>
                    </w:rPr>
                    <w:br/>
                    <w:t>Rubriche</w:t>
                  </w:r>
                </w:p>
                <w:p w14:paraId="2263CD61" w14:textId="77777777" w:rsidR="00341923" w:rsidRPr="00341923" w:rsidRDefault="00341923" w:rsidP="00341923">
                  <w:pPr>
                    <w:shd w:val="clear" w:color="auto" w:fill="FFFFFF"/>
                    <w:spacing w:after="0" w:line="240" w:lineRule="auto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I quadri di riferimento Invalsi</w:t>
                  </w:r>
                  <w:r w:rsidRPr="00341923">
                    <w:rPr>
                      <w:rFonts w:eastAsia="Times New Roman"/>
                    </w:rPr>
                    <w:br/>
                    <w:t>Metodologie didattiche per l'insegnamento della matematica nella scuola primaria</w:t>
                  </w:r>
                  <w:r w:rsidRPr="00341923"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AD28F" w14:textId="77777777" w:rsidR="00341923" w:rsidRPr="00341923" w:rsidRDefault="00341923" w:rsidP="00341923">
                  <w:pPr>
                    <w:tabs>
                      <w:tab w:val="left" w:pos="7615"/>
                    </w:tabs>
                    <w:jc w:val="center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2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3B454" w14:textId="42B207AB" w:rsidR="00AC2E86" w:rsidRDefault="00341923" w:rsidP="00341923">
                  <w:pPr>
                    <w:tabs>
                      <w:tab w:val="left" w:pos="7615"/>
                    </w:tabs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</w:t>
                  </w:r>
                  <w:r w:rsidRPr="00341923">
                    <w:rPr>
                      <w:rFonts w:eastAsia="Times New Roman"/>
                    </w:rPr>
                    <w:t>aurea magistrale in matematica</w:t>
                  </w:r>
                  <w:r w:rsidR="00AC2E86">
                    <w:rPr>
                      <w:rFonts w:eastAsia="Times New Roman"/>
                    </w:rPr>
                    <w:t>/</w:t>
                  </w:r>
                  <w:r w:rsidRPr="00341923">
                    <w:rPr>
                      <w:rFonts w:eastAsia="Times New Roman"/>
                    </w:rPr>
                    <w:t xml:space="preserve"> </w:t>
                  </w:r>
                  <w:r w:rsidR="00AC2E86">
                    <w:rPr>
                      <w:rFonts w:eastAsia="Times New Roman"/>
                    </w:rPr>
                    <w:t>T</w:t>
                  </w:r>
                  <w:r w:rsidRPr="00341923">
                    <w:rPr>
                      <w:rFonts w:eastAsia="Times New Roman"/>
                    </w:rPr>
                    <w:t xml:space="preserve">itolo di </w:t>
                  </w:r>
                  <w:r w:rsidR="00AC2E86">
                    <w:rPr>
                      <w:rFonts w:eastAsia="Times New Roman"/>
                    </w:rPr>
                    <w:t>S</w:t>
                  </w:r>
                  <w:r w:rsidRPr="00341923">
                    <w:rPr>
                      <w:rFonts w:eastAsia="Times New Roman"/>
                    </w:rPr>
                    <w:t>tudio idoneo all’insegnamento nella scuola primaria</w:t>
                  </w:r>
                  <w:r w:rsidR="00AC2E86">
                    <w:rPr>
                      <w:rFonts w:eastAsia="Times New Roman"/>
                    </w:rPr>
                    <w:t>.</w:t>
                  </w:r>
                </w:p>
                <w:p w14:paraId="7A9131BB" w14:textId="77777777" w:rsidR="00AC2E86" w:rsidRDefault="00AC2E86" w:rsidP="00341923">
                  <w:pPr>
                    <w:tabs>
                      <w:tab w:val="left" w:pos="7615"/>
                    </w:tabs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</w:t>
                  </w:r>
                  <w:r w:rsidR="00341923" w:rsidRPr="00341923">
                    <w:rPr>
                      <w:rFonts w:eastAsia="Times New Roman"/>
                    </w:rPr>
                    <w:t>sperienza nell’insegnamento della matematica nella scuola primaria</w:t>
                  </w:r>
                  <w:r>
                    <w:rPr>
                      <w:rFonts w:eastAsia="Times New Roman"/>
                    </w:rPr>
                    <w:t>.</w:t>
                  </w:r>
                </w:p>
                <w:p w14:paraId="24FCAD5D" w14:textId="600C3A64" w:rsidR="00341923" w:rsidRPr="00341923" w:rsidRDefault="00AC2E86" w:rsidP="00341923">
                  <w:pPr>
                    <w:tabs>
                      <w:tab w:val="left" w:pos="7615"/>
                    </w:tabs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</w:t>
                  </w:r>
                  <w:r w:rsidR="00341923" w:rsidRPr="00341923">
                    <w:rPr>
                      <w:rFonts w:eastAsia="Times New Roman"/>
                    </w:rPr>
                    <w:t>ompetenze nell’utilizzo di nuove tecnologie per la didattica</w:t>
                  </w:r>
                </w:p>
              </w:tc>
            </w:tr>
            <w:tr w:rsidR="00341923" w:rsidRPr="00341923" w14:paraId="55256355" w14:textId="77777777" w:rsidTr="00AC2E86">
              <w:tc>
                <w:tcPr>
                  <w:tcW w:w="5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35E3E" w14:textId="77777777" w:rsidR="00341923" w:rsidRPr="00341923" w:rsidRDefault="00341923" w:rsidP="00341923">
                  <w:pPr>
                    <w:tabs>
                      <w:tab w:val="left" w:pos="7615"/>
                    </w:tabs>
                    <w:jc w:val="both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UDA2</w:t>
                  </w:r>
                </w:p>
                <w:p w14:paraId="40332F2A" w14:textId="77777777" w:rsidR="00341923" w:rsidRPr="00341923" w:rsidRDefault="00341923" w:rsidP="0034192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Materiali e risorse per l'insegnamento e l'apprendimento della Matematica</w:t>
                  </w:r>
                </w:p>
                <w:p w14:paraId="06A53268" w14:textId="77777777" w:rsidR="00341923" w:rsidRPr="00341923" w:rsidRDefault="00341923" w:rsidP="0034192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Introduzione ai materiali e alle risorse</w:t>
                  </w:r>
                  <w:r w:rsidRPr="00341923">
                    <w:rPr>
                      <w:rFonts w:eastAsia="Times New Roman"/>
                    </w:rPr>
                    <w:br/>
                    <w:t>Senso e scopo del loro utilizzo per il miglioramento dell'apprendimento</w:t>
                  </w:r>
                  <w:r w:rsidRPr="00341923">
                    <w:rPr>
                      <w:rFonts w:eastAsia="Times New Roman"/>
                    </w:rPr>
                    <w:br/>
                    <w:t>Materiali manipolativi vs. Materiali digitali</w:t>
                  </w:r>
                </w:p>
                <w:p w14:paraId="0A8B7296" w14:textId="77777777" w:rsidR="00341923" w:rsidRPr="00341923" w:rsidRDefault="00341923" w:rsidP="0034192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L’uso di giochi meccanici e costruttivi; il coding e la robotica educativa</w:t>
                  </w:r>
                  <w:r w:rsidRPr="00341923">
                    <w:rPr>
                      <w:rFonts w:eastAsia="Times New Roman"/>
                    </w:rPr>
                    <w:br/>
                    <w:t>L'uso della calcolatrice</w:t>
                  </w:r>
                  <w:r w:rsidRPr="00341923">
                    <w:rPr>
                      <w:rFonts w:eastAsia="Times New Roman"/>
                    </w:rPr>
                    <w:br/>
                    <w:t>Materiale audiovisivo</w:t>
                  </w:r>
                </w:p>
                <w:p w14:paraId="22B79DD0" w14:textId="77777777" w:rsidR="00341923" w:rsidRPr="00341923" w:rsidRDefault="00341923" w:rsidP="00341923">
                  <w:pPr>
                    <w:tabs>
                      <w:tab w:val="left" w:pos="7615"/>
                    </w:tabs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2E0CAD" w14:textId="77777777" w:rsidR="00341923" w:rsidRPr="00341923" w:rsidRDefault="00341923" w:rsidP="00341923">
                  <w:pPr>
                    <w:tabs>
                      <w:tab w:val="left" w:pos="7615"/>
                    </w:tabs>
                    <w:jc w:val="center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26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76A93A10" w14:textId="55B4D05B" w:rsidR="00341923" w:rsidRPr="00341923" w:rsidRDefault="00341923" w:rsidP="00341923">
                  <w:pPr>
                    <w:tabs>
                      <w:tab w:val="left" w:pos="7615"/>
                    </w:tabs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341923" w:rsidRPr="00341923" w14:paraId="0289116C" w14:textId="77777777" w:rsidTr="00AC2E86">
              <w:tc>
                <w:tcPr>
                  <w:tcW w:w="5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0A6E6" w14:textId="77777777" w:rsidR="00341923" w:rsidRPr="00341923" w:rsidRDefault="00341923" w:rsidP="00341923">
                  <w:pPr>
                    <w:tabs>
                      <w:tab w:val="left" w:pos="7615"/>
                    </w:tabs>
                    <w:jc w:val="both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UDA3</w:t>
                  </w:r>
                </w:p>
                <w:p w14:paraId="14EF7211" w14:textId="77777777" w:rsidR="00341923" w:rsidRPr="00341923" w:rsidRDefault="00341923" w:rsidP="0034192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Didattica del calcolo mentale</w:t>
                  </w:r>
                </w:p>
                <w:p w14:paraId="40F7A59B" w14:textId="77777777" w:rsidR="00341923" w:rsidRPr="00341923" w:rsidRDefault="00341923" w:rsidP="0034192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Contenuti e attività per il C.M.</w:t>
                  </w:r>
                </w:p>
                <w:p w14:paraId="77990452" w14:textId="77777777" w:rsidR="00341923" w:rsidRPr="00341923" w:rsidRDefault="00341923" w:rsidP="0034192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Concetti di base del numero e delle proprietà legate alle operazioni</w:t>
                  </w:r>
                  <w:r w:rsidRPr="00341923">
                    <w:rPr>
                      <w:rFonts w:eastAsia="Times New Roman"/>
                    </w:rPr>
                    <w:br/>
                    <w:t>Giochi e materiale didattico</w:t>
                  </w:r>
                </w:p>
                <w:p w14:paraId="4447B5E6" w14:textId="77777777" w:rsidR="00341923" w:rsidRPr="00341923" w:rsidRDefault="00341923" w:rsidP="0034192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Strategie di calcolo mentale</w:t>
                  </w:r>
                </w:p>
                <w:p w14:paraId="0E1A18FE" w14:textId="77777777" w:rsidR="00341923" w:rsidRPr="00341923" w:rsidRDefault="00341923" w:rsidP="00341923">
                  <w:pPr>
                    <w:tabs>
                      <w:tab w:val="left" w:pos="7615"/>
                    </w:tabs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D72FC" w14:textId="77777777" w:rsidR="00341923" w:rsidRPr="00341923" w:rsidRDefault="00341923" w:rsidP="00341923">
                  <w:pPr>
                    <w:tabs>
                      <w:tab w:val="left" w:pos="7615"/>
                    </w:tabs>
                    <w:jc w:val="center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6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0F58E" w14:textId="14AA0BA0" w:rsidR="00341923" w:rsidRPr="00341923" w:rsidRDefault="00341923" w:rsidP="00341923">
                  <w:pPr>
                    <w:tabs>
                      <w:tab w:val="left" w:pos="7615"/>
                    </w:tabs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341923" w:rsidRPr="00341923" w14:paraId="3E16C439" w14:textId="77777777" w:rsidTr="00AC2E86">
              <w:tc>
                <w:tcPr>
                  <w:tcW w:w="5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DFEA0" w14:textId="77777777" w:rsidR="00341923" w:rsidRPr="00341923" w:rsidRDefault="00341923" w:rsidP="00341923">
                  <w:pPr>
                    <w:tabs>
                      <w:tab w:val="left" w:pos="7615"/>
                    </w:tabs>
                    <w:jc w:val="both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Autoformazione con l’utilizzo di materiali e strumenti messi a disposizione dai formatori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E2848" w14:textId="77777777" w:rsidR="00341923" w:rsidRPr="00341923" w:rsidRDefault="00341923" w:rsidP="00341923">
                  <w:pPr>
                    <w:tabs>
                      <w:tab w:val="left" w:pos="7615"/>
                    </w:tabs>
                    <w:jc w:val="center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C08B5" w14:textId="77777777" w:rsidR="00341923" w:rsidRPr="00341923" w:rsidRDefault="00341923" w:rsidP="00341923">
                  <w:pPr>
                    <w:tabs>
                      <w:tab w:val="left" w:pos="7615"/>
                    </w:tabs>
                    <w:rPr>
                      <w:rFonts w:eastAsia="Times New Roman"/>
                    </w:rPr>
                  </w:pPr>
                </w:p>
              </w:tc>
            </w:tr>
            <w:tr w:rsidR="00341923" w:rsidRPr="00341923" w14:paraId="1E7CDB26" w14:textId="77777777" w:rsidTr="00AC2E86">
              <w:tc>
                <w:tcPr>
                  <w:tcW w:w="5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28897" w14:textId="77777777" w:rsidR="00341923" w:rsidRPr="00341923" w:rsidRDefault="00341923" w:rsidP="00341923">
                  <w:pPr>
                    <w:tabs>
                      <w:tab w:val="left" w:pos="7615"/>
                    </w:tabs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Totali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EC013" w14:textId="77777777" w:rsidR="00341923" w:rsidRPr="00341923" w:rsidRDefault="00341923" w:rsidP="00341923">
                  <w:pPr>
                    <w:tabs>
                      <w:tab w:val="left" w:pos="7615"/>
                    </w:tabs>
                    <w:jc w:val="center"/>
                    <w:rPr>
                      <w:rFonts w:eastAsia="Times New Roman"/>
                    </w:rPr>
                  </w:pPr>
                  <w:r w:rsidRPr="00341923"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B9415" w14:textId="77777777" w:rsidR="00341923" w:rsidRPr="00341923" w:rsidRDefault="00341923" w:rsidP="00341923">
                  <w:pPr>
                    <w:tabs>
                      <w:tab w:val="left" w:pos="7615"/>
                    </w:tabs>
                    <w:rPr>
                      <w:rFonts w:eastAsia="Times New Roman"/>
                    </w:rPr>
                  </w:pPr>
                </w:p>
              </w:tc>
            </w:tr>
          </w:tbl>
          <w:p w14:paraId="36EFFB79" w14:textId="77777777" w:rsidR="00341923" w:rsidRPr="00341923" w:rsidRDefault="00341923" w:rsidP="00341923">
            <w:pPr>
              <w:tabs>
                <w:tab w:val="left" w:pos="7615"/>
              </w:tabs>
              <w:ind w:left="77"/>
              <w:rPr>
                <w:rFonts w:eastAsia="Times New Roman"/>
              </w:rPr>
            </w:pPr>
          </w:p>
        </w:tc>
      </w:tr>
      <w:tr w:rsidR="00341923" w:rsidRPr="00341923" w14:paraId="6ED478E6" w14:textId="77777777" w:rsidTr="00197564">
        <w:trPr>
          <w:trHeight w:val="81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B436E9" w14:textId="77777777" w:rsidR="00341923" w:rsidRPr="00341923" w:rsidRDefault="00341923" w:rsidP="00341923">
            <w:pPr>
              <w:tabs>
                <w:tab w:val="left" w:pos="7615"/>
              </w:tabs>
              <w:ind w:left="142"/>
              <w:jc w:val="center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MODALITÀ DI VERIFICA FINALE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5479" w14:textId="77777777" w:rsidR="00341923" w:rsidRPr="00341923" w:rsidRDefault="00341923" w:rsidP="00341923">
            <w:pPr>
              <w:tabs>
                <w:tab w:val="left" w:pos="7615"/>
              </w:tabs>
              <w:jc w:val="both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Prodotti finali</w:t>
            </w:r>
          </w:p>
        </w:tc>
      </w:tr>
      <w:tr w:rsidR="00341923" w:rsidRPr="00341923" w14:paraId="23BF6985" w14:textId="77777777" w:rsidTr="00197564">
        <w:trPr>
          <w:trHeight w:val="81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2F12AD" w14:textId="77777777" w:rsidR="00341923" w:rsidRPr="00341923" w:rsidRDefault="00341923" w:rsidP="00341923">
            <w:pPr>
              <w:tabs>
                <w:tab w:val="left" w:pos="7615"/>
              </w:tabs>
              <w:ind w:left="142"/>
              <w:jc w:val="center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MAPPATURA DELLE COMPETENZE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7240" w14:textId="77777777" w:rsidR="00341923" w:rsidRPr="00341923" w:rsidRDefault="00341923" w:rsidP="00341923">
            <w:pPr>
              <w:tabs>
                <w:tab w:val="left" w:pos="7615"/>
              </w:tabs>
              <w:jc w:val="both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 xml:space="preserve">Area delle competenze relative all’insegnamento (didattica) </w:t>
            </w:r>
          </w:p>
          <w:p w14:paraId="39E807AC" w14:textId="77777777" w:rsidR="00341923" w:rsidRPr="00341923" w:rsidRDefault="00341923" w:rsidP="00341923">
            <w:pPr>
              <w:tabs>
                <w:tab w:val="left" w:pos="7615"/>
              </w:tabs>
              <w:jc w:val="both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 xml:space="preserve">a. Progettare e organizzare le situazioni di apprendimento con attenzione alla relazione tra strategie didattiche e contenuti disciplinari; </w:t>
            </w:r>
          </w:p>
          <w:p w14:paraId="157B263B" w14:textId="77777777" w:rsidR="00341923" w:rsidRPr="00341923" w:rsidRDefault="00341923" w:rsidP="00341923">
            <w:pPr>
              <w:tabs>
                <w:tab w:val="left" w:pos="7615"/>
              </w:tabs>
              <w:jc w:val="both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 xml:space="preserve">b. Utilizzare strategie appropriate per personalizzare i percorsi di apprendimento e coinvolgere tutti gli studenti, saper sviluppare percorsi e ambienti educativi attenti alla personalizzazione e </w:t>
            </w:r>
            <w:r w:rsidRPr="00341923">
              <w:rPr>
                <w:rFonts w:eastAsia="Times New Roman"/>
              </w:rPr>
              <w:lastRenderedPageBreak/>
              <w:t>all’inclusione.</w:t>
            </w:r>
          </w:p>
          <w:p w14:paraId="49BEB77A" w14:textId="0932FE0E" w:rsidR="00341923" w:rsidRPr="00341923" w:rsidRDefault="00341923" w:rsidP="00341923">
            <w:pPr>
              <w:tabs>
                <w:tab w:val="left" w:pos="7615"/>
              </w:tabs>
              <w:jc w:val="both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 xml:space="preserve"> Area delle competenze relative alla partecipazione scolastica (organizzazione)</w:t>
            </w:r>
          </w:p>
          <w:p w14:paraId="34919E6F" w14:textId="77777777" w:rsidR="00341923" w:rsidRPr="00341923" w:rsidRDefault="00341923" w:rsidP="00341923">
            <w:pPr>
              <w:tabs>
                <w:tab w:val="left" w:pos="7615"/>
              </w:tabs>
              <w:jc w:val="both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Contribuire al benessere degli studenti.</w:t>
            </w:r>
          </w:p>
          <w:p w14:paraId="5177DD5E" w14:textId="77777777" w:rsidR="00341923" w:rsidRPr="00341923" w:rsidRDefault="00341923" w:rsidP="00341923">
            <w:pPr>
              <w:tabs>
                <w:tab w:val="left" w:pos="7615"/>
              </w:tabs>
              <w:jc w:val="both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Area delle competenze relative alla propria formazione (professionalità)</w:t>
            </w:r>
          </w:p>
          <w:p w14:paraId="7E743F34" w14:textId="77777777" w:rsidR="00341923" w:rsidRPr="00341923" w:rsidRDefault="00341923" w:rsidP="00341923">
            <w:pPr>
              <w:tabs>
                <w:tab w:val="left" w:pos="7615"/>
              </w:tabs>
              <w:jc w:val="both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 xml:space="preserve">a. Curare la propria formazione continua; </w:t>
            </w:r>
          </w:p>
          <w:p w14:paraId="4CA9A8D9" w14:textId="77777777" w:rsidR="00341923" w:rsidRPr="00341923" w:rsidRDefault="00341923" w:rsidP="00341923">
            <w:pPr>
              <w:tabs>
                <w:tab w:val="left" w:pos="7615"/>
              </w:tabs>
              <w:jc w:val="both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b. Partecipare e favorire percorsi di ricerca per innovazione, anche curando la documentazione e il proprio portfolio.</w:t>
            </w:r>
          </w:p>
        </w:tc>
      </w:tr>
      <w:tr w:rsidR="00341923" w:rsidRPr="00341923" w14:paraId="194658A5" w14:textId="77777777" w:rsidTr="00197564">
        <w:trPr>
          <w:trHeight w:val="81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3FE13F" w14:textId="77777777" w:rsidR="00341923" w:rsidRPr="00341923" w:rsidRDefault="00341923" w:rsidP="00341923">
            <w:pPr>
              <w:tabs>
                <w:tab w:val="left" w:pos="7615"/>
              </w:tabs>
              <w:ind w:left="142"/>
              <w:jc w:val="center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lastRenderedPageBreak/>
              <w:t>DESTINATARI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DDC5" w14:textId="77777777" w:rsidR="00341923" w:rsidRPr="00341923" w:rsidRDefault="00341923" w:rsidP="00341923">
            <w:pPr>
              <w:tabs>
                <w:tab w:val="left" w:pos="7615"/>
              </w:tabs>
              <w:jc w:val="both"/>
              <w:rPr>
                <w:rFonts w:eastAsia="Times New Roman"/>
              </w:rPr>
            </w:pPr>
            <w:r w:rsidRPr="00341923">
              <w:rPr>
                <w:rFonts w:eastAsia="Times New Roman"/>
              </w:rPr>
              <w:t>Docenti di scuola primaria</w:t>
            </w:r>
          </w:p>
          <w:p w14:paraId="3E3884AB" w14:textId="77777777" w:rsidR="00341923" w:rsidRPr="00341923" w:rsidRDefault="00341923" w:rsidP="00341923">
            <w:pPr>
              <w:tabs>
                <w:tab w:val="left" w:pos="7615"/>
              </w:tabs>
              <w:spacing w:before="100" w:after="0" w:line="241" w:lineRule="atLeast"/>
              <w:jc w:val="both"/>
              <w:rPr>
                <w:rFonts w:eastAsia="Times New Roman"/>
              </w:rPr>
            </w:pPr>
          </w:p>
        </w:tc>
      </w:tr>
    </w:tbl>
    <w:p w14:paraId="3AC37CDF" w14:textId="77777777" w:rsidR="00341923" w:rsidRPr="00341923" w:rsidRDefault="00341923" w:rsidP="00341923">
      <w:pPr>
        <w:rPr>
          <w:rFonts w:ascii="Calibri" w:eastAsia="Calibri" w:hAnsi="Calibri" w:cs="Times New Roman"/>
        </w:rPr>
      </w:pPr>
    </w:p>
    <w:p w14:paraId="789A4310" w14:textId="77777777" w:rsidR="00341923" w:rsidRPr="00341923" w:rsidRDefault="00341923" w:rsidP="00341923">
      <w:pPr>
        <w:rPr>
          <w:rFonts w:ascii="Calibri" w:eastAsia="Calibri" w:hAnsi="Calibri" w:cs="Times New Roman"/>
        </w:rPr>
      </w:pPr>
    </w:p>
    <w:p w14:paraId="510BA4AA" w14:textId="77777777" w:rsidR="00341923" w:rsidRDefault="00341923" w:rsidP="00341923">
      <w:pPr>
        <w:rPr>
          <w:rFonts w:ascii="Calibri" w:eastAsia="Calibri" w:hAnsi="Calibri" w:cs="Times New Roman"/>
        </w:rPr>
      </w:pPr>
    </w:p>
    <w:sectPr w:rsidR="00341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029"/>
    <w:multiLevelType w:val="multilevel"/>
    <w:tmpl w:val="BFFA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B58CA"/>
    <w:multiLevelType w:val="hybridMultilevel"/>
    <w:tmpl w:val="F7FC16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124"/>
    <w:multiLevelType w:val="multilevel"/>
    <w:tmpl w:val="B9B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268FF"/>
    <w:multiLevelType w:val="multilevel"/>
    <w:tmpl w:val="9B96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40DCD"/>
    <w:multiLevelType w:val="multilevel"/>
    <w:tmpl w:val="522C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C7C51"/>
    <w:multiLevelType w:val="hybridMultilevel"/>
    <w:tmpl w:val="84505E9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F1363D"/>
    <w:multiLevelType w:val="multilevel"/>
    <w:tmpl w:val="FC88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E7E5D"/>
    <w:multiLevelType w:val="multilevel"/>
    <w:tmpl w:val="1F08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B3B16"/>
    <w:multiLevelType w:val="multilevel"/>
    <w:tmpl w:val="0CDC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561F6"/>
    <w:multiLevelType w:val="multilevel"/>
    <w:tmpl w:val="DA90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842FD"/>
    <w:multiLevelType w:val="multilevel"/>
    <w:tmpl w:val="3492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00701B"/>
    <w:multiLevelType w:val="multilevel"/>
    <w:tmpl w:val="2E7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045B0D"/>
    <w:multiLevelType w:val="multilevel"/>
    <w:tmpl w:val="A8F4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120713"/>
    <w:multiLevelType w:val="multilevel"/>
    <w:tmpl w:val="4858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8058F"/>
    <w:multiLevelType w:val="hybridMultilevel"/>
    <w:tmpl w:val="D22090F8"/>
    <w:lvl w:ilvl="0" w:tplc="3AA2DEC2">
      <w:start w:val="7"/>
      <w:numFmt w:val="bullet"/>
      <w:lvlText w:val="-"/>
      <w:lvlJc w:val="left"/>
      <w:pPr>
        <w:ind w:left="862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0D0625"/>
    <w:multiLevelType w:val="multilevel"/>
    <w:tmpl w:val="CD8E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96AF1"/>
    <w:multiLevelType w:val="multilevel"/>
    <w:tmpl w:val="E60C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7E5C4E"/>
    <w:multiLevelType w:val="multilevel"/>
    <w:tmpl w:val="A708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E6F04"/>
    <w:multiLevelType w:val="multilevel"/>
    <w:tmpl w:val="6B98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F26C9B"/>
    <w:multiLevelType w:val="multilevel"/>
    <w:tmpl w:val="A9D6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3657294">
    <w:abstractNumId w:val="14"/>
  </w:num>
  <w:num w:numId="2" w16cid:durableId="1850870503">
    <w:abstractNumId w:val="17"/>
  </w:num>
  <w:num w:numId="3" w16cid:durableId="11686412">
    <w:abstractNumId w:val="19"/>
  </w:num>
  <w:num w:numId="4" w16cid:durableId="1462990975">
    <w:abstractNumId w:val="10"/>
  </w:num>
  <w:num w:numId="5" w16cid:durableId="1818498699">
    <w:abstractNumId w:val="15"/>
  </w:num>
  <w:num w:numId="6" w16cid:durableId="2049604776">
    <w:abstractNumId w:val="13"/>
  </w:num>
  <w:num w:numId="7" w16cid:durableId="275409824">
    <w:abstractNumId w:val="3"/>
  </w:num>
  <w:num w:numId="8" w16cid:durableId="1741174834">
    <w:abstractNumId w:val="9"/>
  </w:num>
  <w:num w:numId="9" w16cid:durableId="668288720">
    <w:abstractNumId w:val="0"/>
  </w:num>
  <w:num w:numId="10" w16cid:durableId="1387409373">
    <w:abstractNumId w:val="6"/>
  </w:num>
  <w:num w:numId="11" w16cid:durableId="1999116993">
    <w:abstractNumId w:val="7"/>
  </w:num>
  <w:num w:numId="12" w16cid:durableId="268245938">
    <w:abstractNumId w:val="2"/>
  </w:num>
  <w:num w:numId="13" w16cid:durableId="2143770589">
    <w:abstractNumId w:val="8"/>
  </w:num>
  <w:num w:numId="14" w16cid:durableId="100612832">
    <w:abstractNumId w:val="18"/>
  </w:num>
  <w:num w:numId="15" w16cid:durableId="1656181037">
    <w:abstractNumId w:val="12"/>
  </w:num>
  <w:num w:numId="16" w16cid:durableId="1646229520">
    <w:abstractNumId w:val="16"/>
  </w:num>
  <w:num w:numId="17" w16cid:durableId="1308781188">
    <w:abstractNumId w:val="4"/>
  </w:num>
  <w:num w:numId="18" w16cid:durableId="630788579">
    <w:abstractNumId w:val="11"/>
  </w:num>
  <w:num w:numId="19" w16cid:durableId="162936175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40643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8490871">
    <w:abstractNumId w:val="7"/>
  </w:num>
  <w:num w:numId="22" w16cid:durableId="1588229812">
    <w:abstractNumId w:val="12"/>
  </w:num>
  <w:num w:numId="23" w16cid:durableId="1260140358">
    <w:abstractNumId w:val="16"/>
  </w:num>
  <w:num w:numId="24" w16cid:durableId="18472844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0CA"/>
    <w:rsid w:val="0003242C"/>
    <w:rsid w:val="000B40FB"/>
    <w:rsid w:val="000D7832"/>
    <w:rsid w:val="00102C73"/>
    <w:rsid w:val="001359D9"/>
    <w:rsid w:val="0015265D"/>
    <w:rsid w:val="00197564"/>
    <w:rsid w:val="001D53B5"/>
    <w:rsid w:val="00283F98"/>
    <w:rsid w:val="0029166D"/>
    <w:rsid w:val="002C453C"/>
    <w:rsid w:val="00341923"/>
    <w:rsid w:val="004120CA"/>
    <w:rsid w:val="004433BA"/>
    <w:rsid w:val="004E7B7F"/>
    <w:rsid w:val="004F2C89"/>
    <w:rsid w:val="005568A5"/>
    <w:rsid w:val="00636E05"/>
    <w:rsid w:val="006965D9"/>
    <w:rsid w:val="007C6490"/>
    <w:rsid w:val="00885BC7"/>
    <w:rsid w:val="008D5CDE"/>
    <w:rsid w:val="008D5E94"/>
    <w:rsid w:val="008F0BD5"/>
    <w:rsid w:val="00996EE2"/>
    <w:rsid w:val="00AC2E86"/>
    <w:rsid w:val="00B2027A"/>
    <w:rsid w:val="00B520A2"/>
    <w:rsid w:val="00BA0009"/>
    <w:rsid w:val="00BF799F"/>
    <w:rsid w:val="00C37BE9"/>
    <w:rsid w:val="00C97256"/>
    <w:rsid w:val="00CF21AF"/>
    <w:rsid w:val="00D0168E"/>
    <w:rsid w:val="00D91EA6"/>
    <w:rsid w:val="00DA2E4E"/>
    <w:rsid w:val="00E951EA"/>
    <w:rsid w:val="00F22165"/>
    <w:rsid w:val="00F34A30"/>
    <w:rsid w:val="00F76983"/>
    <w:rsid w:val="00FD1427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2722"/>
  <w15:docId w15:val="{C322B8C6-9AA9-4B11-B42D-34690C8D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9D9"/>
    <w:pPr>
      <w:spacing w:after="200" w:line="276" w:lineRule="auto"/>
    </w:pPr>
    <w:rPr>
      <w:color w:val="00000A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9D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59D9"/>
    <w:pPr>
      <w:ind w:left="720"/>
      <w:contextualSpacing/>
    </w:pPr>
  </w:style>
  <w:style w:type="paragraph" w:customStyle="1" w:styleId="Default">
    <w:name w:val="Default"/>
    <w:rsid w:val="00135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Pa7">
    <w:name w:val="Pa7"/>
    <w:basedOn w:val="Default"/>
    <w:next w:val="Default"/>
    <w:uiPriority w:val="99"/>
    <w:rsid w:val="001359D9"/>
    <w:pPr>
      <w:spacing w:line="241" w:lineRule="atLeast"/>
    </w:pPr>
    <w:rPr>
      <w:rFonts w:ascii="Essonnes Display" w:hAnsi="Essonnes Display" w:cstheme="minorBidi"/>
      <w:color w:val="auto"/>
    </w:rPr>
  </w:style>
  <w:style w:type="character" w:customStyle="1" w:styleId="A11">
    <w:name w:val="A11"/>
    <w:uiPriority w:val="99"/>
    <w:rsid w:val="001359D9"/>
    <w:rPr>
      <w:rFonts w:cs="Essonnes Display"/>
      <w:color w:val="0D385E"/>
    </w:rPr>
  </w:style>
  <w:style w:type="paragraph" w:styleId="NormaleWeb">
    <w:name w:val="Normal (Web)"/>
    <w:basedOn w:val="Normale"/>
    <w:uiPriority w:val="99"/>
    <w:unhideWhenUsed/>
    <w:rsid w:val="00BF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799F"/>
    <w:rPr>
      <w:b/>
      <w:bCs/>
    </w:rPr>
  </w:style>
  <w:style w:type="character" w:styleId="Enfasicorsivo">
    <w:name w:val="Emphasis"/>
    <w:basedOn w:val="Carpredefinitoparagrafo"/>
    <w:uiPriority w:val="20"/>
    <w:qFormat/>
    <w:rsid w:val="00102C73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34192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3E7B-9E66-4C67-8521-22C1D356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12</cp:revision>
  <dcterms:created xsi:type="dcterms:W3CDTF">2023-05-03T17:09:00Z</dcterms:created>
  <dcterms:modified xsi:type="dcterms:W3CDTF">2023-07-02T18:06:00Z</dcterms:modified>
</cp:coreProperties>
</file>